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84E1" w14:textId="3D4F5804" w:rsidR="00C41628" w:rsidRPr="006F248E" w:rsidRDefault="006F248E" w:rsidP="006F248E">
      <w:pPr>
        <w:jc w:val="center"/>
        <w:rPr>
          <w:b/>
          <w:bCs/>
          <w:color w:val="0070C0"/>
          <w:sz w:val="32"/>
          <w:szCs w:val="32"/>
        </w:rPr>
      </w:pPr>
      <w:r>
        <w:rPr>
          <w:b/>
          <w:bCs/>
          <w:color w:val="0070C0"/>
          <w:sz w:val="32"/>
          <w:szCs w:val="32"/>
        </w:rPr>
        <w:t xml:space="preserve">2026 - </w:t>
      </w:r>
      <w:r w:rsidR="00CB229C" w:rsidRPr="006F248E">
        <w:rPr>
          <w:b/>
          <w:bCs/>
          <w:color w:val="0070C0"/>
          <w:sz w:val="32"/>
          <w:szCs w:val="32"/>
        </w:rPr>
        <w:t>LEDA VILLAGE RESORT 4*</w:t>
      </w:r>
      <w:r>
        <w:rPr>
          <w:b/>
          <w:bCs/>
          <w:color w:val="0070C0"/>
          <w:sz w:val="32"/>
          <w:szCs w:val="32"/>
        </w:rPr>
        <w:t xml:space="preserve">, </w:t>
      </w:r>
      <w:r w:rsidR="0025376F" w:rsidRPr="006F248E">
        <w:rPr>
          <w:b/>
          <w:bCs/>
          <w:color w:val="0070C0"/>
          <w:sz w:val="32"/>
          <w:szCs w:val="32"/>
        </w:rPr>
        <w:t>Pelion</w:t>
      </w:r>
    </w:p>
    <w:p w14:paraId="1BBA8463" w14:textId="34A43BF8" w:rsidR="00390DF3" w:rsidRDefault="003F0FF0" w:rsidP="0025376F">
      <w:pPr>
        <w:jc w:val="both"/>
        <w:rPr>
          <w:lang w:val="ro-RO"/>
        </w:rPr>
      </w:pPr>
      <w:r w:rsidRPr="003F0FF0">
        <w:rPr>
          <w:lang w:val="ro-RO"/>
        </w:rPr>
        <w:t xml:space="preserve">Leda Village Resort este amplasat în liniștitul sat de coastă Chorto, în Peninsula Pelion de Sud, la doar 47 de kilometri de Volos, în Grecia Centrală continentală. Este situat într-un </w:t>
      </w:r>
      <w:r w:rsidR="00810B87">
        <w:rPr>
          <w:lang w:val="ro-RO"/>
        </w:rPr>
        <w:t xml:space="preserve">frumos </w:t>
      </w:r>
      <w:r w:rsidRPr="003F0FF0">
        <w:rPr>
          <w:lang w:val="ro-RO"/>
        </w:rPr>
        <w:t xml:space="preserve">port natural, înconjurat de măslini seculari și are vedere la apele cristaline ale Golfului Pagasetic. Resortul se mândrește cu </w:t>
      </w:r>
      <w:r w:rsidR="0025376F">
        <w:rPr>
          <w:lang w:val="ro-RO"/>
        </w:rPr>
        <w:t xml:space="preserve">plaja intinsa care ofera </w:t>
      </w:r>
      <w:r w:rsidRPr="003F0FF0">
        <w:rPr>
          <w:lang w:val="ro-RO"/>
        </w:rPr>
        <w:t xml:space="preserve">oaspeților acces direct la mare. </w:t>
      </w:r>
      <w:r w:rsidR="00810B87">
        <w:rPr>
          <w:lang w:val="ro-RO"/>
        </w:rPr>
        <w:t>Cazare:</w:t>
      </w:r>
      <w:r w:rsidRPr="003F0FF0">
        <w:rPr>
          <w:lang w:val="ro-RO"/>
        </w:rPr>
        <w:t xml:space="preserve"> </w:t>
      </w:r>
      <w:r w:rsidR="00810B87">
        <w:rPr>
          <w:lang w:val="ro-RO"/>
        </w:rPr>
        <w:t>resortul</w:t>
      </w:r>
      <w:r w:rsidRPr="003F0FF0">
        <w:rPr>
          <w:lang w:val="ro-RO"/>
        </w:rPr>
        <w:t xml:space="preserve"> cuprinde 26 de </w:t>
      </w:r>
      <w:r>
        <w:rPr>
          <w:lang w:val="ro-RO"/>
        </w:rPr>
        <w:t>vile</w:t>
      </w:r>
      <w:r w:rsidRPr="003F0FF0">
        <w:rPr>
          <w:lang w:val="ro-RO"/>
        </w:rPr>
        <w:t xml:space="preserve"> în stil</w:t>
      </w:r>
      <w:r w:rsidR="00810B87">
        <w:rPr>
          <w:lang w:val="ro-RO"/>
        </w:rPr>
        <w:t>ul</w:t>
      </w:r>
      <w:r w:rsidRPr="003F0FF0">
        <w:rPr>
          <w:lang w:val="ro-RO"/>
        </w:rPr>
        <w:t xml:space="preserve"> arhitectural tradițional din Pelion, oferind un total de 54 de camere, 15 studiouri, 17 suite și 4 vile cu piscină privată. Fiecare este proiectată cu grijă pentru a oferi</w:t>
      </w:r>
      <w:r>
        <w:rPr>
          <w:lang w:val="ro-RO"/>
        </w:rPr>
        <w:t xml:space="preserve"> o vedere</w:t>
      </w:r>
      <w:r w:rsidRPr="003F0FF0">
        <w:rPr>
          <w:lang w:val="ro-RO"/>
        </w:rPr>
        <w:t xml:space="preserve"> uluitoare la mare.</w:t>
      </w:r>
    </w:p>
    <w:p w14:paraId="0F09995E" w14:textId="77C9C217" w:rsidR="006F248E" w:rsidRDefault="006F248E" w:rsidP="006F248E">
      <w:pPr>
        <w:jc w:val="center"/>
        <w:rPr>
          <w:lang w:val="ro-RO"/>
        </w:rPr>
      </w:pPr>
      <w:r>
        <w:rPr>
          <w:noProof/>
          <w:lang w:val="ro-RO"/>
        </w:rPr>
        <w:drawing>
          <wp:inline distT="0" distB="0" distL="0" distR="0" wp14:anchorId="1227DA47" wp14:editId="4DDBAE8A">
            <wp:extent cx="4180115" cy="2202180"/>
            <wp:effectExtent l="0" t="0" r="0" b="7620"/>
            <wp:docPr id="129908779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87795" name="Imagine 1299087795"/>
                    <pic:cNvPicPr/>
                  </pic:nvPicPr>
                  <pic:blipFill>
                    <a:blip r:embed="rId4">
                      <a:extLst>
                        <a:ext uri="{28A0092B-C50C-407E-A947-70E740481C1C}">
                          <a14:useLocalDpi xmlns:a14="http://schemas.microsoft.com/office/drawing/2010/main" val="0"/>
                        </a:ext>
                      </a:extLst>
                    </a:blip>
                    <a:stretch>
                      <a:fillRect/>
                    </a:stretch>
                  </pic:blipFill>
                  <pic:spPr>
                    <a:xfrm>
                      <a:off x="0" y="0"/>
                      <a:ext cx="4188557" cy="2206627"/>
                    </a:xfrm>
                    <a:prstGeom prst="rect">
                      <a:avLst/>
                    </a:prstGeom>
                  </pic:spPr>
                </pic:pic>
              </a:graphicData>
            </a:graphic>
          </wp:inline>
        </w:drawing>
      </w:r>
    </w:p>
    <w:p w14:paraId="02C6E248" w14:textId="3586D194" w:rsidR="00390DF3" w:rsidRDefault="005F5F6E" w:rsidP="0025376F">
      <w:pPr>
        <w:jc w:val="both"/>
        <w:rPr>
          <w:lang w:val="ro-RO"/>
        </w:rPr>
      </w:pPr>
      <w:r>
        <w:rPr>
          <w:lang w:val="ro-RO"/>
        </w:rPr>
        <w:t>Leda Village</w:t>
      </w:r>
      <w:r w:rsidR="00390DF3" w:rsidRPr="00390DF3">
        <w:rPr>
          <w:lang w:val="ro-RO"/>
        </w:rPr>
        <w:t xml:space="preserve"> se mândrește cu o gamă diversă de </w:t>
      </w:r>
      <w:r>
        <w:rPr>
          <w:lang w:val="ro-RO"/>
        </w:rPr>
        <w:t>servicii</w:t>
      </w:r>
      <w:r w:rsidR="00390DF3" w:rsidRPr="00390DF3">
        <w:rPr>
          <w:lang w:val="ro-RO"/>
        </w:rPr>
        <w:t xml:space="preserve">, inclusiv </w:t>
      </w:r>
      <w:r w:rsidR="00390DF3">
        <w:rPr>
          <w:lang w:val="ro-RO"/>
        </w:rPr>
        <w:t>servirea mesei</w:t>
      </w:r>
      <w:r w:rsidR="00390DF3" w:rsidRPr="00390DF3">
        <w:rPr>
          <w:lang w:val="ro-RO"/>
        </w:rPr>
        <w:t xml:space="preserve"> pe malul mării la barul și restaurantul </w:t>
      </w:r>
      <w:r>
        <w:rPr>
          <w:lang w:val="ro-RO"/>
        </w:rPr>
        <w:t>propriu</w:t>
      </w:r>
      <w:r w:rsidR="00390DF3" w:rsidRPr="00390DF3">
        <w:rPr>
          <w:lang w:val="ro-RO"/>
        </w:rPr>
        <w:t>, un bar la piscină, piscine pentru adulți și copii, terenuri de tenis</w:t>
      </w:r>
      <w:r>
        <w:rPr>
          <w:lang w:val="ro-RO"/>
        </w:rPr>
        <w:t xml:space="preserve"> si</w:t>
      </w:r>
      <w:r w:rsidR="00390DF3" w:rsidRPr="00390DF3">
        <w:rPr>
          <w:lang w:val="ro-RO"/>
        </w:rPr>
        <w:t xml:space="preserve"> minigolf, un teren de fotbal 5x5, terenuri de baschet</w:t>
      </w:r>
      <w:r>
        <w:rPr>
          <w:lang w:val="ro-RO"/>
        </w:rPr>
        <w:t>,</w:t>
      </w:r>
      <w:r w:rsidR="00390DF3" w:rsidRPr="00390DF3">
        <w:rPr>
          <w:lang w:val="ro-RO"/>
        </w:rPr>
        <w:t xml:space="preserve"> volei pe plajă, aerobic acvatic, lecții de dans, călărie, activități sportive nautice, lecții de scufundări, ciclism montan, tenis de masă, șah în aer liber, un loc de joacă pentru copii, cursuri de yoga, lecții de bucătărie grecească</w:t>
      </w:r>
      <w:r>
        <w:rPr>
          <w:lang w:val="ro-RO"/>
        </w:rPr>
        <w:t>.</w:t>
      </w:r>
      <w:r w:rsidR="00390DF3" w:rsidRPr="00390DF3">
        <w:rPr>
          <w:lang w:val="ro-RO"/>
        </w:rPr>
        <w:t xml:space="preserve"> </w:t>
      </w:r>
      <w:r>
        <w:rPr>
          <w:lang w:val="ro-RO"/>
        </w:rPr>
        <w:t>I</w:t>
      </w:r>
      <w:r w:rsidR="00390DF3" w:rsidRPr="00390DF3">
        <w:rPr>
          <w:lang w:val="ro-RO"/>
        </w:rPr>
        <w:t>n plus, ofer</w:t>
      </w:r>
      <w:r>
        <w:rPr>
          <w:lang w:val="ro-RO"/>
        </w:rPr>
        <w:t xml:space="preserve">a </w:t>
      </w:r>
      <w:r w:rsidR="00390DF3" w:rsidRPr="00390DF3">
        <w:rPr>
          <w:lang w:val="ro-RO"/>
        </w:rPr>
        <w:t>acces gratuit la internet wireless în întreaga stațiune</w:t>
      </w:r>
      <w:r>
        <w:rPr>
          <w:lang w:val="ro-RO"/>
        </w:rPr>
        <w:t xml:space="preserve"> precum si locuri de parcare.</w:t>
      </w:r>
    </w:p>
    <w:p w14:paraId="7A644EFD" w14:textId="51DB6AF3" w:rsidR="00183B2A" w:rsidRPr="00667B04" w:rsidRDefault="002314FE" w:rsidP="002314FE">
      <w:pPr>
        <w:rPr>
          <w:b/>
          <w:bCs/>
          <w:color w:val="0070C0"/>
          <w:lang w:val="ro-RO"/>
        </w:rPr>
      </w:pPr>
      <w:r w:rsidRPr="00667B04">
        <w:rPr>
          <w:b/>
          <w:bCs/>
          <w:color w:val="0070C0"/>
          <w:sz w:val="24"/>
          <w:szCs w:val="24"/>
          <w:lang w:val="ro-RO"/>
        </w:rPr>
        <w:t xml:space="preserve">Tarif </w:t>
      </w:r>
      <w:r w:rsidR="00BA3E60">
        <w:rPr>
          <w:b/>
          <w:bCs/>
          <w:color w:val="0070C0"/>
          <w:sz w:val="24"/>
          <w:szCs w:val="24"/>
          <w:lang w:val="ro-RO"/>
        </w:rPr>
        <w:t xml:space="preserve">in </w:t>
      </w:r>
      <w:r w:rsidR="007729BC" w:rsidRPr="00667B04">
        <w:rPr>
          <w:b/>
          <w:bCs/>
          <w:color w:val="0070C0"/>
          <w:sz w:val="24"/>
          <w:szCs w:val="24"/>
          <w:lang w:val="ro-RO"/>
        </w:rPr>
        <w:t>EURO</w:t>
      </w:r>
      <w:r w:rsidRPr="00667B04">
        <w:rPr>
          <w:b/>
          <w:bCs/>
          <w:color w:val="0070C0"/>
          <w:sz w:val="24"/>
          <w:szCs w:val="24"/>
          <w:lang w:val="ro-RO"/>
        </w:rPr>
        <w:t>/persoana</w:t>
      </w:r>
      <w:r w:rsidR="00C20515">
        <w:rPr>
          <w:b/>
          <w:bCs/>
          <w:color w:val="0070C0"/>
          <w:sz w:val="24"/>
          <w:szCs w:val="24"/>
          <w:lang w:val="ro-RO"/>
        </w:rPr>
        <w:t>/noapte</w:t>
      </w:r>
      <w:r w:rsidRPr="00667B04">
        <w:rPr>
          <w:b/>
          <w:bCs/>
          <w:color w:val="0070C0"/>
          <w:sz w:val="24"/>
          <w:szCs w:val="24"/>
          <w:lang w:val="ro-RO"/>
        </w:rPr>
        <w:t>, cu demipensiune (mic dejun + cina</w:t>
      </w:r>
      <w:r w:rsidR="00BA3E60">
        <w:rPr>
          <w:b/>
          <w:bCs/>
          <w:color w:val="0070C0"/>
          <w:sz w:val="24"/>
          <w:szCs w:val="24"/>
          <w:lang w:val="ro-RO"/>
        </w:rPr>
        <w:t>, bufet</w:t>
      </w:r>
      <w:r w:rsidRPr="00667B04">
        <w:rPr>
          <w:b/>
          <w:bCs/>
          <w:color w:val="0070C0"/>
          <w:sz w:val="24"/>
          <w:szCs w:val="24"/>
          <w:lang w:val="ro-RO"/>
        </w:rPr>
        <w:t xml:space="preserve">) </w:t>
      </w:r>
    </w:p>
    <w:tbl>
      <w:tblPr>
        <w:tblStyle w:val="Tabelgril"/>
        <w:tblW w:w="0" w:type="auto"/>
        <w:tblLook w:val="04A0" w:firstRow="1" w:lastRow="0" w:firstColumn="1" w:lastColumn="0" w:noHBand="0" w:noVBand="1"/>
      </w:tblPr>
      <w:tblGrid>
        <w:gridCol w:w="1567"/>
        <w:gridCol w:w="1567"/>
        <w:gridCol w:w="1567"/>
        <w:gridCol w:w="1567"/>
        <w:gridCol w:w="1567"/>
        <w:gridCol w:w="1567"/>
        <w:gridCol w:w="1568"/>
      </w:tblGrid>
      <w:tr w:rsidR="00183B2A" w14:paraId="09301181" w14:textId="77777777" w:rsidTr="00183B2A">
        <w:tc>
          <w:tcPr>
            <w:tcW w:w="1567" w:type="dxa"/>
            <w:vMerge w:val="restart"/>
            <w:vAlign w:val="center"/>
          </w:tcPr>
          <w:p w14:paraId="72E40B7E" w14:textId="0C0B2B59" w:rsidR="00183B2A" w:rsidRPr="002314FE" w:rsidRDefault="00183B2A" w:rsidP="00183B2A">
            <w:pPr>
              <w:jc w:val="center"/>
              <w:rPr>
                <w:i/>
                <w:iCs/>
                <w:color w:val="0070C0"/>
                <w:lang w:val="ro-RO"/>
              </w:rPr>
            </w:pPr>
            <w:r w:rsidRPr="002314FE">
              <w:rPr>
                <w:i/>
                <w:iCs/>
                <w:color w:val="0070C0"/>
                <w:lang w:val="ro-RO"/>
              </w:rPr>
              <w:t>Distanta pana la mare</w:t>
            </w:r>
            <w:r w:rsidR="002314FE" w:rsidRPr="002314FE">
              <w:rPr>
                <w:i/>
                <w:iCs/>
                <w:color w:val="0070C0"/>
                <w:lang w:val="ro-RO"/>
              </w:rPr>
              <w:t>:</w:t>
            </w:r>
          </w:p>
          <w:p w14:paraId="1E9782EF" w14:textId="748286F3" w:rsidR="002314FE" w:rsidRDefault="002314FE" w:rsidP="002314FE">
            <w:pPr>
              <w:jc w:val="center"/>
              <w:rPr>
                <w:lang w:val="ro-RO"/>
              </w:rPr>
            </w:pPr>
            <w:r>
              <w:rPr>
                <w:lang w:val="ro-RO"/>
              </w:rPr>
              <w:t>....................</w:t>
            </w:r>
          </w:p>
          <w:p w14:paraId="555D71A4" w14:textId="58E0B3E3" w:rsidR="002314FE" w:rsidRPr="00DF08E2" w:rsidRDefault="002314FE" w:rsidP="00183B2A">
            <w:pPr>
              <w:jc w:val="center"/>
              <w:rPr>
                <w:lang w:val="ro-RO"/>
              </w:rPr>
            </w:pPr>
            <w:r w:rsidRPr="00DF08E2">
              <w:rPr>
                <w:color w:val="E36C0A" w:themeColor="accent6" w:themeShade="BF"/>
                <w:lang w:val="ro-RO"/>
              </w:rPr>
              <w:t>Perioada:</w:t>
            </w:r>
          </w:p>
        </w:tc>
        <w:tc>
          <w:tcPr>
            <w:tcW w:w="1567" w:type="dxa"/>
          </w:tcPr>
          <w:p w14:paraId="19B5F38B" w14:textId="77777777"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KYKNOS</w:t>
            </w:r>
          </w:p>
          <w:p w14:paraId="7CDD80EF" w14:textId="7A7DC7E1"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Camera standard</w:t>
            </w:r>
          </w:p>
        </w:tc>
        <w:tc>
          <w:tcPr>
            <w:tcW w:w="1567" w:type="dxa"/>
          </w:tcPr>
          <w:p w14:paraId="0A1DC59E" w14:textId="77777777"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LEDA</w:t>
            </w:r>
          </w:p>
          <w:p w14:paraId="58A8414A" w14:textId="00D0F410"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Camera superior</w:t>
            </w:r>
          </w:p>
        </w:tc>
        <w:tc>
          <w:tcPr>
            <w:tcW w:w="1567" w:type="dxa"/>
          </w:tcPr>
          <w:p w14:paraId="5236BD01" w14:textId="77777777"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LEDA</w:t>
            </w:r>
          </w:p>
          <w:p w14:paraId="49DDA673" w14:textId="33C97118"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Studio standard</w:t>
            </w:r>
          </w:p>
        </w:tc>
        <w:tc>
          <w:tcPr>
            <w:tcW w:w="1567" w:type="dxa"/>
          </w:tcPr>
          <w:p w14:paraId="7CEFF262" w14:textId="77777777"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LEDA</w:t>
            </w:r>
          </w:p>
          <w:p w14:paraId="57475933" w14:textId="78E18D9D"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Family Suite standard</w:t>
            </w:r>
          </w:p>
        </w:tc>
        <w:tc>
          <w:tcPr>
            <w:tcW w:w="1567" w:type="dxa"/>
          </w:tcPr>
          <w:p w14:paraId="1CF937B8" w14:textId="77777777"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ERATO</w:t>
            </w:r>
          </w:p>
          <w:p w14:paraId="6735E80B" w14:textId="0C30B79E"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Studio superior</w:t>
            </w:r>
          </w:p>
        </w:tc>
        <w:tc>
          <w:tcPr>
            <w:tcW w:w="1568" w:type="dxa"/>
          </w:tcPr>
          <w:p w14:paraId="7195FBB3" w14:textId="77777777"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ERATO</w:t>
            </w:r>
          </w:p>
          <w:p w14:paraId="1A13EB21" w14:textId="66D835EF" w:rsidR="00183B2A" w:rsidRPr="002314FE" w:rsidRDefault="00183B2A" w:rsidP="00183B2A">
            <w:pPr>
              <w:jc w:val="center"/>
              <w:rPr>
                <w:b/>
                <w:bCs/>
                <w:color w:val="E36C0A" w:themeColor="accent6" w:themeShade="BF"/>
                <w:lang w:val="ro-RO"/>
              </w:rPr>
            </w:pPr>
            <w:r w:rsidRPr="002314FE">
              <w:rPr>
                <w:b/>
                <w:bCs/>
                <w:color w:val="E36C0A" w:themeColor="accent6" w:themeShade="BF"/>
                <w:lang w:val="ro-RO"/>
              </w:rPr>
              <w:t>Family Suite superior</w:t>
            </w:r>
          </w:p>
        </w:tc>
      </w:tr>
      <w:tr w:rsidR="00183B2A" w14:paraId="3E852C16" w14:textId="77777777" w:rsidTr="00183B2A">
        <w:tc>
          <w:tcPr>
            <w:tcW w:w="1567" w:type="dxa"/>
            <w:vMerge/>
          </w:tcPr>
          <w:p w14:paraId="141C4467" w14:textId="77777777" w:rsidR="00183B2A" w:rsidRDefault="00183B2A" w:rsidP="00183B2A">
            <w:pPr>
              <w:jc w:val="center"/>
              <w:rPr>
                <w:lang w:val="ro-RO"/>
              </w:rPr>
            </w:pPr>
          </w:p>
        </w:tc>
        <w:tc>
          <w:tcPr>
            <w:tcW w:w="1567" w:type="dxa"/>
          </w:tcPr>
          <w:p w14:paraId="1B78E249" w14:textId="33425357" w:rsidR="00183B2A" w:rsidRPr="00DF08E2" w:rsidRDefault="00183B2A" w:rsidP="00183B2A">
            <w:pPr>
              <w:jc w:val="center"/>
              <w:rPr>
                <w:color w:val="E36C0A" w:themeColor="accent6" w:themeShade="BF"/>
                <w:lang w:val="ro-RO"/>
              </w:rPr>
            </w:pPr>
            <w:r w:rsidRPr="00DF08E2">
              <w:rPr>
                <w:color w:val="E36C0A" w:themeColor="accent6" w:themeShade="BF"/>
                <w:lang w:val="ro-RO"/>
              </w:rPr>
              <w:t>Sea view</w:t>
            </w:r>
          </w:p>
        </w:tc>
        <w:tc>
          <w:tcPr>
            <w:tcW w:w="1567" w:type="dxa"/>
          </w:tcPr>
          <w:p w14:paraId="078DCD36" w14:textId="0BB0FE2E" w:rsidR="00183B2A" w:rsidRPr="00DF08E2" w:rsidRDefault="00183B2A" w:rsidP="00183B2A">
            <w:pPr>
              <w:jc w:val="center"/>
              <w:rPr>
                <w:color w:val="E36C0A" w:themeColor="accent6" w:themeShade="BF"/>
                <w:lang w:val="ro-RO"/>
              </w:rPr>
            </w:pPr>
            <w:r w:rsidRPr="00DF08E2">
              <w:rPr>
                <w:color w:val="E36C0A" w:themeColor="accent6" w:themeShade="BF"/>
                <w:lang w:val="ro-RO"/>
              </w:rPr>
              <w:t>Sea view</w:t>
            </w:r>
          </w:p>
        </w:tc>
        <w:tc>
          <w:tcPr>
            <w:tcW w:w="1567" w:type="dxa"/>
          </w:tcPr>
          <w:p w14:paraId="6606370E" w14:textId="2013E515" w:rsidR="00183B2A" w:rsidRPr="00DF08E2" w:rsidRDefault="00183B2A" w:rsidP="00183B2A">
            <w:pPr>
              <w:jc w:val="center"/>
              <w:rPr>
                <w:color w:val="E36C0A" w:themeColor="accent6" w:themeShade="BF"/>
                <w:lang w:val="ro-RO"/>
              </w:rPr>
            </w:pPr>
            <w:r w:rsidRPr="00DF08E2">
              <w:rPr>
                <w:color w:val="E36C0A" w:themeColor="accent6" w:themeShade="BF"/>
                <w:lang w:val="ro-RO"/>
              </w:rPr>
              <w:t>Sea view</w:t>
            </w:r>
          </w:p>
        </w:tc>
        <w:tc>
          <w:tcPr>
            <w:tcW w:w="1567" w:type="dxa"/>
          </w:tcPr>
          <w:p w14:paraId="177AF4E5" w14:textId="36481D36" w:rsidR="00183B2A" w:rsidRPr="00DF08E2" w:rsidRDefault="00183B2A" w:rsidP="00183B2A">
            <w:pPr>
              <w:jc w:val="center"/>
              <w:rPr>
                <w:color w:val="E36C0A" w:themeColor="accent6" w:themeShade="BF"/>
                <w:lang w:val="ro-RO"/>
              </w:rPr>
            </w:pPr>
            <w:r w:rsidRPr="00DF08E2">
              <w:rPr>
                <w:color w:val="E36C0A" w:themeColor="accent6" w:themeShade="BF"/>
                <w:lang w:val="ro-RO"/>
              </w:rPr>
              <w:t>Sea view</w:t>
            </w:r>
          </w:p>
        </w:tc>
        <w:tc>
          <w:tcPr>
            <w:tcW w:w="1567" w:type="dxa"/>
          </w:tcPr>
          <w:p w14:paraId="6311C2BE" w14:textId="07957E82" w:rsidR="00183B2A" w:rsidRPr="00DF08E2" w:rsidRDefault="00183B2A" w:rsidP="00183B2A">
            <w:pPr>
              <w:jc w:val="center"/>
              <w:rPr>
                <w:color w:val="E36C0A" w:themeColor="accent6" w:themeShade="BF"/>
                <w:lang w:val="ro-RO"/>
              </w:rPr>
            </w:pPr>
            <w:r w:rsidRPr="00DF08E2">
              <w:rPr>
                <w:color w:val="E36C0A" w:themeColor="accent6" w:themeShade="BF"/>
                <w:lang w:val="ro-RO"/>
              </w:rPr>
              <w:t>Sea view</w:t>
            </w:r>
          </w:p>
        </w:tc>
        <w:tc>
          <w:tcPr>
            <w:tcW w:w="1568" w:type="dxa"/>
          </w:tcPr>
          <w:p w14:paraId="3B68CCCA" w14:textId="0D22E532" w:rsidR="00183B2A" w:rsidRPr="00DF08E2" w:rsidRDefault="00183B2A" w:rsidP="00183B2A">
            <w:pPr>
              <w:jc w:val="center"/>
              <w:rPr>
                <w:color w:val="E36C0A" w:themeColor="accent6" w:themeShade="BF"/>
                <w:lang w:val="ro-RO"/>
              </w:rPr>
            </w:pPr>
            <w:r w:rsidRPr="00DF08E2">
              <w:rPr>
                <w:color w:val="E36C0A" w:themeColor="accent6" w:themeShade="BF"/>
                <w:lang w:val="ro-RO"/>
              </w:rPr>
              <w:t>Sea view</w:t>
            </w:r>
          </w:p>
        </w:tc>
      </w:tr>
      <w:tr w:rsidR="00183B2A" w14:paraId="6E50C81C" w14:textId="77777777" w:rsidTr="00183B2A">
        <w:tc>
          <w:tcPr>
            <w:tcW w:w="1567" w:type="dxa"/>
            <w:vMerge/>
          </w:tcPr>
          <w:p w14:paraId="15F92581" w14:textId="77777777" w:rsidR="00183B2A" w:rsidRDefault="00183B2A" w:rsidP="00183B2A">
            <w:pPr>
              <w:jc w:val="center"/>
              <w:rPr>
                <w:lang w:val="ro-RO"/>
              </w:rPr>
            </w:pPr>
          </w:p>
        </w:tc>
        <w:tc>
          <w:tcPr>
            <w:tcW w:w="1567" w:type="dxa"/>
          </w:tcPr>
          <w:p w14:paraId="122093B8" w14:textId="60E01221" w:rsidR="00183B2A" w:rsidRPr="002314FE" w:rsidRDefault="00183B2A" w:rsidP="00183B2A">
            <w:pPr>
              <w:jc w:val="center"/>
              <w:rPr>
                <w:i/>
                <w:iCs/>
                <w:color w:val="0070C0"/>
                <w:lang w:val="ro-RO"/>
              </w:rPr>
            </w:pPr>
            <w:r w:rsidRPr="002314FE">
              <w:rPr>
                <w:i/>
                <w:iCs/>
                <w:color w:val="0070C0"/>
                <w:lang w:val="ro-RO"/>
              </w:rPr>
              <w:t>cca 5 minute</w:t>
            </w:r>
          </w:p>
        </w:tc>
        <w:tc>
          <w:tcPr>
            <w:tcW w:w="1567" w:type="dxa"/>
          </w:tcPr>
          <w:p w14:paraId="06CFA2C2" w14:textId="03505169" w:rsidR="00183B2A" w:rsidRPr="002314FE" w:rsidRDefault="00183B2A" w:rsidP="00183B2A">
            <w:pPr>
              <w:jc w:val="center"/>
              <w:rPr>
                <w:i/>
                <w:iCs/>
                <w:color w:val="0070C0"/>
                <w:lang w:val="ro-RO"/>
              </w:rPr>
            </w:pPr>
            <w:r w:rsidRPr="002314FE">
              <w:rPr>
                <w:i/>
                <w:iCs/>
                <w:color w:val="0070C0"/>
                <w:lang w:val="ro-RO"/>
              </w:rPr>
              <w:t>cca 2-5 minute</w:t>
            </w:r>
          </w:p>
        </w:tc>
        <w:tc>
          <w:tcPr>
            <w:tcW w:w="1567" w:type="dxa"/>
          </w:tcPr>
          <w:p w14:paraId="66A3A6B2" w14:textId="2CB48FD5" w:rsidR="00183B2A" w:rsidRPr="002314FE" w:rsidRDefault="00DF08E2" w:rsidP="00183B2A">
            <w:pPr>
              <w:jc w:val="center"/>
              <w:rPr>
                <w:i/>
                <w:iCs/>
                <w:color w:val="0070C0"/>
                <w:lang w:val="ro-RO"/>
              </w:rPr>
            </w:pPr>
            <w:r>
              <w:rPr>
                <w:i/>
                <w:iCs/>
                <w:color w:val="0070C0"/>
                <w:lang w:val="ro-RO"/>
              </w:rPr>
              <w:t>c</w:t>
            </w:r>
            <w:r w:rsidR="00183B2A" w:rsidRPr="002314FE">
              <w:rPr>
                <w:i/>
                <w:iCs/>
                <w:color w:val="0070C0"/>
                <w:lang w:val="ro-RO"/>
              </w:rPr>
              <w:t>ca 2-3 minute</w:t>
            </w:r>
          </w:p>
        </w:tc>
        <w:tc>
          <w:tcPr>
            <w:tcW w:w="1567" w:type="dxa"/>
          </w:tcPr>
          <w:p w14:paraId="2F3ED9AD" w14:textId="369ADD47" w:rsidR="00183B2A" w:rsidRPr="002314FE" w:rsidRDefault="00DF08E2" w:rsidP="00183B2A">
            <w:pPr>
              <w:jc w:val="center"/>
              <w:rPr>
                <w:i/>
                <w:iCs/>
                <w:color w:val="0070C0"/>
                <w:lang w:val="ro-RO"/>
              </w:rPr>
            </w:pPr>
            <w:r>
              <w:rPr>
                <w:i/>
                <w:iCs/>
                <w:color w:val="0070C0"/>
                <w:lang w:val="ro-RO"/>
              </w:rPr>
              <w:t>c</w:t>
            </w:r>
            <w:r w:rsidR="00183B2A" w:rsidRPr="002314FE">
              <w:rPr>
                <w:i/>
                <w:iCs/>
                <w:color w:val="0070C0"/>
                <w:lang w:val="ro-RO"/>
              </w:rPr>
              <w:t>ca 2-3 minute</w:t>
            </w:r>
          </w:p>
        </w:tc>
        <w:tc>
          <w:tcPr>
            <w:tcW w:w="1567" w:type="dxa"/>
          </w:tcPr>
          <w:p w14:paraId="1931819D" w14:textId="15FA2A21" w:rsidR="00183B2A" w:rsidRPr="002314FE" w:rsidRDefault="002314FE" w:rsidP="00183B2A">
            <w:pPr>
              <w:jc w:val="center"/>
              <w:rPr>
                <w:i/>
                <w:iCs/>
                <w:color w:val="0070C0"/>
                <w:lang w:val="ro-RO"/>
              </w:rPr>
            </w:pPr>
            <w:r w:rsidRPr="002314FE">
              <w:rPr>
                <w:i/>
                <w:iCs/>
                <w:color w:val="0070C0"/>
                <w:lang w:val="ro-RO"/>
              </w:rPr>
              <w:t>&lt;</w:t>
            </w:r>
            <w:r w:rsidR="001F155C">
              <w:rPr>
                <w:i/>
                <w:iCs/>
                <w:color w:val="0070C0"/>
                <w:lang w:val="ro-RO"/>
              </w:rPr>
              <w:t xml:space="preserve"> </w:t>
            </w:r>
            <w:r w:rsidR="00183B2A" w:rsidRPr="002314FE">
              <w:rPr>
                <w:i/>
                <w:iCs/>
                <w:color w:val="0070C0"/>
                <w:lang w:val="ro-RO"/>
              </w:rPr>
              <w:t>1 minut</w:t>
            </w:r>
          </w:p>
        </w:tc>
        <w:tc>
          <w:tcPr>
            <w:tcW w:w="1568" w:type="dxa"/>
          </w:tcPr>
          <w:p w14:paraId="1B462D9E" w14:textId="392EFFAB" w:rsidR="00183B2A" w:rsidRPr="002314FE" w:rsidRDefault="002314FE" w:rsidP="00183B2A">
            <w:pPr>
              <w:jc w:val="center"/>
              <w:rPr>
                <w:i/>
                <w:iCs/>
                <w:color w:val="0070C0"/>
                <w:lang w:val="ro-RO"/>
              </w:rPr>
            </w:pPr>
            <w:r w:rsidRPr="002314FE">
              <w:rPr>
                <w:i/>
                <w:iCs/>
                <w:color w:val="0070C0"/>
                <w:lang w:val="ro-RO"/>
              </w:rPr>
              <w:t>&lt;</w:t>
            </w:r>
            <w:r w:rsidR="001F155C">
              <w:rPr>
                <w:i/>
                <w:iCs/>
                <w:color w:val="0070C0"/>
                <w:lang w:val="ro-RO"/>
              </w:rPr>
              <w:t xml:space="preserve"> </w:t>
            </w:r>
            <w:r w:rsidR="00183B2A" w:rsidRPr="002314FE">
              <w:rPr>
                <w:i/>
                <w:iCs/>
                <w:color w:val="0070C0"/>
                <w:lang w:val="ro-RO"/>
              </w:rPr>
              <w:t>1 minut</w:t>
            </w:r>
          </w:p>
        </w:tc>
      </w:tr>
      <w:tr w:rsidR="00183B2A" w14:paraId="4CB8E6A0" w14:textId="77777777" w:rsidTr="00183B2A">
        <w:tc>
          <w:tcPr>
            <w:tcW w:w="1567" w:type="dxa"/>
          </w:tcPr>
          <w:p w14:paraId="2C19BF7A" w14:textId="0CA93FAA" w:rsidR="00183B2A" w:rsidRPr="00DF08E2" w:rsidRDefault="002314FE" w:rsidP="00183B2A">
            <w:pPr>
              <w:jc w:val="center"/>
              <w:rPr>
                <w:color w:val="E36C0A" w:themeColor="accent6" w:themeShade="BF"/>
                <w:lang w:val="ro-RO"/>
              </w:rPr>
            </w:pPr>
            <w:r w:rsidRPr="00DF08E2">
              <w:rPr>
                <w:color w:val="E36C0A" w:themeColor="accent6" w:themeShade="BF"/>
                <w:lang w:val="ro-RO"/>
              </w:rPr>
              <w:t>9.05-12.06</w:t>
            </w:r>
          </w:p>
        </w:tc>
        <w:tc>
          <w:tcPr>
            <w:tcW w:w="1567" w:type="dxa"/>
          </w:tcPr>
          <w:p w14:paraId="72D374F9" w14:textId="2D09E5F8" w:rsidR="00183B2A" w:rsidRPr="006C664A" w:rsidRDefault="007729BC" w:rsidP="00183B2A">
            <w:pPr>
              <w:jc w:val="center"/>
              <w:rPr>
                <w:lang w:val="ro-RO"/>
              </w:rPr>
            </w:pPr>
            <w:r w:rsidRPr="006C664A">
              <w:rPr>
                <w:lang w:val="ro-RO"/>
              </w:rPr>
              <w:t xml:space="preserve">58 </w:t>
            </w:r>
          </w:p>
        </w:tc>
        <w:tc>
          <w:tcPr>
            <w:tcW w:w="1567" w:type="dxa"/>
          </w:tcPr>
          <w:p w14:paraId="353B6380" w14:textId="14C04FE1" w:rsidR="00183B2A" w:rsidRPr="006C664A" w:rsidRDefault="007729BC" w:rsidP="00183B2A">
            <w:pPr>
              <w:jc w:val="center"/>
              <w:rPr>
                <w:lang w:val="ro-RO"/>
              </w:rPr>
            </w:pPr>
            <w:r w:rsidRPr="006C664A">
              <w:rPr>
                <w:lang w:val="ro-RO"/>
              </w:rPr>
              <w:t xml:space="preserve">68 </w:t>
            </w:r>
          </w:p>
        </w:tc>
        <w:tc>
          <w:tcPr>
            <w:tcW w:w="1567" w:type="dxa"/>
          </w:tcPr>
          <w:p w14:paraId="426506D5" w14:textId="023B67B1" w:rsidR="00183B2A" w:rsidRPr="006C664A" w:rsidRDefault="007729BC" w:rsidP="00183B2A">
            <w:pPr>
              <w:jc w:val="center"/>
              <w:rPr>
                <w:lang w:val="ro-RO"/>
              </w:rPr>
            </w:pPr>
            <w:r w:rsidRPr="006C664A">
              <w:rPr>
                <w:lang w:val="ro-RO"/>
              </w:rPr>
              <w:t xml:space="preserve">68 </w:t>
            </w:r>
          </w:p>
        </w:tc>
        <w:tc>
          <w:tcPr>
            <w:tcW w:w="1567" w:type="dxa"/>
          </w:tcPr>
          <w:p w14:paraId="38C3F158" w14:textId="75FD1C51" w:rsidR="00183B2A" w:rsidRPr="006C664A" w:rsidRDefault="007729BC" w:rsidP="00183B2A">
            <w:pPr>
              <w:jc w:val="center"/>
              <w:rPr>
                <w:lang w:val="ro-RO"/>
              </w:rPr>
            </w:pPr>
            <w:r w:rsidRPr="006C664A">
              <w:rPr>
                <w:lang w:val="ro-RO"/>
              </w:rPr>
              <w:t xml:space="preserve">78 </w:t>
            </w:r>
          </w:p>
        </w:tc>
        <w:tc>
          <w:tcPr>
            <w:tcW w:w="1567" w:type="dxa"/>
          </w:tcPr>
          <w:p w14:paraId="500EA040" w14:textId="4152C06D" w:rsidR="00183B2A" w:rsidRPr="006C664A" w:rsidRDefault="007729BC" w:rsidP="00183B2A">
            <w:pPr>
              <w:jc w:val="center"/>
              <w:rPr>
                <w:lang w:val="ro-RO"/>
              </w:rPr>
            </w:pPr>
            <w:r w:rsidRPr="006C664A">
              <w:rPr>
                <w:lang w:val="ro-RO"/>
              </w:rPr>
              <w:t xml:space="preserve">85 </w:t>
            </w:r>
          </w:p>
        </w:tc>
        <w:tc>
          <w:tcPr>
            <w:tcW w:w="1568" w:type="dxa"/>
          </w:tcPr>
          <w:p w14:paraId="5C268493" w14:textId="4121717F" w:rsidR="00183B2A" w:rsidRPr="006C664A" w:rsidRDefault="007729BC" w:rsidP="00183B2A">
            <w:pPr>
              <w:jc w:val="center"/>
              <w:rPr>
                <w:lang w:val="ro-RO"/>
              </w:rPr>
            </w:pPr>
            <w:r w:rsidRPr="006C664A">
              <w:rPr>
                <w:lang w:val="ro-RO"/>
              </w:rPr>
              <w:t xml:space="preserve">95 </w:t>
            </w:r>
          </w:p>
        </w:tc>
      </w:tr>
      <w:tr w:rsidR="00183B2A" w14:paraId="2359B46C" w14:textId="77777777" w:rsidTr="00183B2A">
        <w:tc>
          <w:tcPr>
            <w:tcW w:w="1567" w:type="dxa"/>
          </w:tcPr>
          <w:p w14:paraId="6C745F30" w14:textId="2D43636C" w:rsidR="00183B2A" w:rsidRPr="00DF08E2" w:rsidRDefault="002314FE" w:rsidP="00183B2A">
            <w:pPr>
              <w:jc w:val="center"/>
              <w:rPr>
                <w:color w:val="E36C0A" w:themeColor="accent6" w:themeShade="BF"/>
                <w:lang w:val="ro-RO"/>
              </w:rPr>
            </w:pPr>
            <w:r w:rsidRPr="00DF08E2">
              <w:rPr>
                <w:color w:val="E36C0A" w:themeColor="accent6" w:themeShade="BF"/>
                <w:lang w:val="ro-RO"/>
              </w:rPr>
              <w:t>13.06-3.07</w:t>
            </w:r>
          </w:p>
        </w:tc>
        <w:tc>
          <w:tcPr>
            <w:tcW w:w="1567" w:type="dxa"/>
          </w:tcPr>
          <w:p w14:paraId="4774B730" w14:textId="6FC82695" w:rsidR="00183B2A" w:rsidRPr="006C664A" w:rsidRDefault="007729BC" w:rsidP="00183B2A">
            <w:pPr>
              <w:jc w:val="center"/>
              <w:rPr>
                <w:lang w:val="ro-RO"/>
              </w:rPr>
            </w:pPr>
            <w:r w:rsidRPr="006C664A">
              <w:rPr>
                <w:lang w:val="ro-RO"/>
              </w:rPr>
              <w:t xml:space="preserve">75 </w:t>
            </w:r>
          </w:p>
        </w:tc>
        <w:tc>
          <w:tcPr>
            <w:tcW w:w="1567" w:type="dxa"/>
          </w:tcPr>
          <w:p w14:paraId="63A484ED" w14:textId="30C53944" w:rsidR="00183B2A" w:rsidRPr="006C664A" w:rsidRDefault="007729BC" w:rsidP="00183B2A">
            <w:pPr>
              <w:jc w:val="center"/>
              <w:rPr>
                <w:lang w:val="ro-RO"/>
              </w:rPr>
            </w:pPr>
            <w:r w:rsidRPr="006C664A">
              <w:rPr>
                <w:lang w:val="ro-RO"/>
              </w:rPr>
              <w:t xml:space="preserve">85 </w:t>
            </w:r>
          </w:p>
        </w:tc>
        <w:tc>
          <w:tcPr>
            <w:tcW w:w="1567" w:type="dxa"/>
          </w:tcPr>
          <w:p w14:paraId="398C65CB" w14:textId="3C05A1B4" w:rsidR="00183B2A" w:rsidRPr="006C664A" w:rsidRDefault="007729BC" w:rsidP="00183B2A">
            <w:pPr>
              <w:jc w:val="center"/>
              <w:rPr>
                <w:lang w:val="ro-RO"/>
              </w:rPr>
            </w:pPr>
            <w:r w:rsidRPr="006C664A">
              <w:rPr>
                <w:lang w:val="ro-RO"/>
              </w:rPr>
              <w:t xml:space="preserve">85 </w:t>
            </w:r>
          </w:p>
        </w:tc>
        <w:tc>
          <w:tcPr>
            <w:tcW w:w="1567" w:type="dxa"/>
          </w:tcPr>
          <w:p w14:paraId="5A29F396" w14:textId="0A344FA2" w:rsidR="00183B2A" w:rsidRPr="006C664A" w:rsidRDefault="007729BC" w:rsidP="00183B2A">
            <w:pPr>
              <w:jc w:val="center"/>
              <w:rPr>
                <w:lang w:val="ro-RO"/>
              </w:rPr>
            </w:pPr>
            <w:r w:rsidRPr="006C664A">
              <w:rPr>
                <w:lang w:val="ro-RO"/>
              </w:rPr>
              <w:t xml:space="preserve">95 </w:t>
            </w:r>
          </w:p>
        </w:tc>
        <w:tc>
          <w:tcPr>
            <w:tcW w:w="1567" w:type="dxa"/>
          </w:tcPr>
          <w:p w14:paraId="1672AF57" w14:textId="1EACE1E1" w:rsidR="00183B2A" w:rsidRPr="006C664A" w:rsidRDefault="007729BC" w:rsidP="00183B2A">
            <w:pPr>
              <w:jc w:val="center"/>
              <w:rPr>
                <w:lang w:val="ro-RO"/>
              </w:rPr>
            </w:pPr>
            <w:r w:rsidRPr="006C664A">
              <w:rPr>
                <w:lang w:val="ro-RO"/>
              </w:rPr>
              <w:t xml:space="preserve">110 </w:t>
            </w:r>
          </w:p>
        </w:tc>
        <w:tc>
          <w:tcPr>
            <w:tcW w:w="1568" w:type="dxa"/>
          </w:tcPr>
          <w:p w14:paraId="48BD5B05" w14:textId="3B0BF81E" w:rsidR="00183B2A" w:rsidRPr="006C664A" w:rsidRDefault="007729BC" w:rsidP="00183B2A">
            <w:pPr>
              <w:jc w:val="center"/>
              <w:rPr>
                <w:lang w:val="ro-RO"/>
              </w:rPr>
            </w:pPr>
            <w:r w:rsidRPr="006C664A">
              <w:rPr>
                <w:lang w:val="ro-RO"/>
              </w:rPr>
              <w:t xml:space="preserve">123 </w:t>
            </w:r>
          </w:p>
        </w:tc>
      </w:tr>
      <w:tr w:rsidR="00183B2A" w14:paraId="3B1C846A" w14:textId="77777777" w:rsidTr="00183B2A">
        <w:tc>
          <w:tcPr>
            <w:tcW w:w="1567" w:type="dxa"/>
          </w:tcPr>
          <w:p w14:paraId="436B5266" w14:textId="79AA0275" w:rsidR="00183B2A" w:rsidRPr="00DF08E2" w:rsidRDefault="002314FE" w:rsidP="00183B2A">
            <w:pPr>
              <w:jc w:val="center"/>
              <w:rPr>
                <w:color w:val="E36C0A" w:themeColor="accent6" w:themeShade="BF"/>
                <w:lang w:val="ro-RO"/>
              </w:rPr>
            </w:pPr>
            <w:r w:rsidRPr="00DF08E2">
              <w:rPr>
                <w:color w:val="E36C0A" w:themeColor="accent6" w:themeShade="BF"/>
                <w:lang w:val="ro-RO"/>
              </w:rPr>
              <w:t>4.07-24.07</w:t>
            </w:r>
          </w:p>
        </w:tc>
        <w:tc>
          <w:tcPr>
            <w:tcW w:w="1567" w:type="dxa"/>
          </w:tcPr>
          <w:p w14:paraId="0744F19E" w14:textId="6C7D0F42" w:rsidR="00183B2A" w:rsidRPr="006C664A" w:rsidRDefault="007729BC" w:rsidP="00183B2A">
            <w:pPr>
              <w:jc w:val="center"/>
              <w:rPr>
                <w:lang w:val="ro-RO"/>
              </w:rPr>
            </w:pPr>
            <w:r w:rsidRPr="006C664A">
              <w:rPr>
                <w:lang w:val="ro-RO"/>
              </w:rPr>
              <w:t xml:space="preserve">103 </w:t>
            </w:r>
          </w:p>
        </w:tc>
        <w:tc>
          <w:tcPr>
            <w:tcW w:w="1567" w:type="dxa"/>
          </w:tcPr>
          <w:p w14:paraId="7AF5F6B6" w14:textId="1932A6F8" w:rsidR="00183B2A" w:rsidRPr="006C664A" w:rsidRDefault="007729BC" w:rsidP="00183B2A">
            <w:pPr>
              <w:jc w:val="center"/>
              <w:rPr>
                <w:lang w:val="ro-RO"/>
              </w:rPr>
            </w:pPr>
            <w:r w:rsidRPr="006C664A">
              <w:rPr>
                <w:lang w:val="ro-RO"/>
              </w:rPr>
              <w:t xml:space="preserve">113 </w:t>
            </w:r>
          </w:p>
        </w:tc>
        <w:tc>
          <w:tcPr>
            <w:tcW w:w="1567" w:type="dxa"/>
          </w:tcPr>
          <w:p w14:paraId="4906ACC9" w14:textId="3F195D45" w:rsidR="00183B2A" w:rsidRPr="006C664A" w:rsidRDefault="007729BC" w:rsidP="00183B2A">
            <w:pPr>
              <w:jc w:val="center"/>
              <w:rPr>
                <w:lang w:val="ro-RO"/>
              </w:rPr>
            </w:pPr>
            <w:r w:rsidRPr="006C664A">
              <w:rPr>
                <w:lang w:val="ro-RO"/>
              </w:rPr>
              <w:t xml:space="preserve">113 </w:t>
            </w:r>
          </w:p>
        </w:tc>
        <w:tc>
          <w:tcPr>
            <w:tcW w:w="1567" w:type="dxa"/>
          </w:tcPr>
          <w:p w14:paraId="201F80D9" w14:textId="13DFA53D" w:rsidR="00183B2A" w:rsidRPr="006C664A" w:rsidRDefault="007729BC" w:rsidP="00183B2A">
            <w:pPr>
              <w:jc w:val="center"/>
              <w:rPr>
                <w:lang w:val="ro-RO"/>
              </w:rPr>
            </w:pPr>
            <w:r w:rsidRPr="006C664A">
              <w:rPr>
                <w:lang w:val="ro-RO"/>
              </w:rPr>
              <w:t xml:space="preserve">138 </w:t>
            </w:r>
          </w:p>
        </w:tc>
        <w:tc>
          <w:tcPr>
            <w:tcW w:w="1567" w:type="dxa"/>
          </w:tcPr>
          <w:p w14:paraId="739ED8E6" w14:textId="696224C4" w:rsidR="00183B2A" w:rsidRPr="006C664A" w:rsidRDefault="007729BC" w:rsidP="00183B2A">
            <w:pPr>
              <w:jc w:val="center"/>
              <w:rPr>
                <w:lang w:val="ro-RO"/>
              </w:rPr>
            </w:pPr>
            <w:r w:rsidRPr="006C664A">
              <w:rPr>
                <w:lang w:val="ro-RO"/>
              </w:rPr>
              <w:t xml:space="preserve">145 </w:t>
            </w:r>
          </w:p>
        </w:tc>
        <w:tc>
          <w:tcPr>
            <w:tcW w:w="1568" w:type="dxa"/>
          </w:tcPr>
          <w:p w14:paraId="2FF3E81E" w14:textId="553A6EB7" w:rsidR="00183B2A" w:rsidRPr="006C664A" w:rsidRDefault="007729BC" w:rsidP="00183B2A">
            <w:pPr>
              <w:jc w:val="center"/>
              <w:rPr>
                <w:lang w:val="ro-RO"/>
              </w:rPr>
            </w:pPr>
            <w:r w:rsidRPr="006C664A">
              <w:rPr>
                <w:lang w:val="ro-RO"/>
              </w:rPr>
              <w:t xml:space="preserve">160 </w:t>
            </w:r>
          </w:p>
        </w:tc>
      </w:tr>
      <w:tr w:rsidR="002314FE" w14:paraId="5028ED3C" w14:textId="77777777" w:rsidTr="00183B2A">
        <w:tc>
          <w:tcPr>
            <w:tcW w:w="1567" w:type="dxa"/>
          </w:tcPr>
          <w:p w14:paraId="6D2F7722" w14:textId="34F270E4" w:rsidR="002314FE" w:rsidRPr="00DF08E2" w:rsidRDefault="002314FE" w:rsidP="00183B2A">
            <w:pPr>
              <w:jc w:val="center"/>
              <w:rPr>
                <w:color w:val="E36C0A" w:themeColor="accent6" w:themeShade="BF"/>
                <w:lang w:val="ro-RO"/>
              </w:rPr>
            </w:pPr>
            <w:r w:rsidRPr="00DF08E2">
              <w:rPr>
                <w:color w:val="E36C0A" w:themeColor="accent6" w:themeShade="BF"/>
                <w:lang w:val="ro-RO"/>
              </w:rPr>
              <w:t>25.07-28.08</w:t>
            </w:r>
          </w:p>
        </w:tc>
        <w:tc>
          <w:tcPr>
            <w:tcW w:w="1567" w:type="dxa"/>
          </w:tcPr>
          <w:p w14:paraId="50FA3967" w14:textId="14BF5994" w:rsidR="002314FE" w:rsidRPr="006C664A" w:rsidRDefault="007729BC" w:rsidP="00183B2A">
            <w:pPr>
              <w:jc w:val="center"/>
              <w:rPr>
                <w:lang w:val="ro-RO"/>
              </w:rPr>
            </w:pPr>
            <w:r w:rsidRPr="006C664A">
              <w:rPr>
                <w:lang w:val="ro-RO"/>
              </w:rPr>
              <w:t xml:space="preserve">115 </w:t>
            </w:r>
          </w:p>
        </w:tc>
        <w:tc>
          <w:tcPr>
            <w:tcW w:w="1567" w:type="dxa"/>
          </w:tcPr>
          <w:p w14:paraId="2A790D8B" w14:textId="473C3396" w:rsidR="002314FE" w:rsidRPr="006C664A" w:rsidRDefault="007729BC" w:rsidP="00183B2A">
            <w:pPr>
              <w:jc w:val="center"/>
              <w:rPr>
                <w:lang w:val="ro-RO"/>
              </w:rPr>
            </w:pPr>
            <w:r w:rsidRPr="006C664A">
              <w:rPr>
                <w:lang w:val="ro-RO"/>
              </w:rPr>
              <w:t xml:space="preserve">128 </w:t>
            </w:r>
          </w:p>
        </w:tc>
        <w:tc>
          <w:tcPr>
            <w:tcW w:w="1567" w:type="dxa"/>
          </w:tcPr>
          <w:p w14:paraId="01096145" w14:textId="4B1BF99B" w:rsidR="002314FE" w:rsidRPr="006C664A" w:rsidRDefault="007729BC" w:rsidP="00183B2A">
            <w:pPr>
              <w:jc w:val="center"/>
              <w:rPr>
                <w:lang w:val="ro-RO"/>
              </w:rPr>
            </w:pPr>
            <w:r w:rsidRPr="006C664A">
              <w:rPr>
                <w:lang w:val="ro-RO"/>
              </w:rPr>
              <w:t xml:space="preserve">128 </w:t>
            </w:r>
          </w:p>
        </w:tc>
        <w:tc>
          <w:tcPr>
            <w:tcW w:w="1567" w:type="dxa"/>
          </w:tcPr>
          <w:p w14:paraId="5FE54A63" w14:textId="3C23FF57" w:rsidR="002314FE" w:rsidRPr="006C664A" w:rsidRDefault="007729BC" w:rsidP="00183B2A">
            <w:pPr>
              <w:jc w:val="center"/>
              <w:rPr>
                <w:lang w:val="ro-RO"/>
              </w:rPr>
            </w:pPr>
            <w:r w:rsidRPr="006C664A">
              <w:rPr>
                <w:lang w:val="ro-RO"/>
              </w:rPr>
              <w:t xml:space="preserve">150 </w:t>
            </w:r>
          </w:p>
        </w:tc>
        <w:tc>
          <w:tcPr>
            <w:tcW w:w="1567" w:type="dxa"/>
          </w:tcPr>
          <w:p w14:paraId="7A63AC40" w14:textId="75295D99" w:rsidR="002314FE" w:rsidRPr="006C664A" w:rsidRDefault="007729BC" w:rsidP="00183B2A">
            <w:pPr>
              <w:jc w:val="center"/>
              <w:rPr>
                <w:lang w:val="ro-RO"/>
              </w:rPr>
            </w:pPr>
            <w:r w:rsidRPr="006C664A">
              <w:rPr>
                <w:lang w:val="ro-RO"/>
              </w:rPr>
              <w:t xml:space="preserve">155 </w:t>
            </w:r>
          </w:p>
        </w:tc>
        <w:tc>
          <w:tcPr>
            <w:tcW w:w="1568" w:type="dxa"/>
          </w:tcPr>
          <w:p w14:paraId="5CD41B51" w14:textId="3DB637D3" w:rsidR="002314FE" w:rsidRPr="006C664A" w:rsidRDefault="007729BC" w:rsidP="00183B2A">
            <w:pPr>
              <w:jc w:val="center"/>
              <w:rPr>
                <w:lang w:val="ro-RO"/>
              </w:rPr>
            </w:pPr>
            <w:r w:rsidRPr="006C664A">
              <w:rPr>
                <w:lang w:val="ro-RO"/>
              </w:rPr>
              <w:t xml:space="preserve">173 </w:t>
            </w:r>
          </w:p>
        </w:tc>
      </w:tr>
      <w:tr w:rsidR="002314FE" w14:paraId="325853BE" w14:textId="77777777" w:rsidTr="00183B2A">
        <w:tc>
          <w:tcPr>
            <w:tcW w:w="1567" w:type="dxa"/>
          </w:tcPr>
          <w:p w14:paraId="50ACECCB" w14:textId="661ACE15" w:rsidR="002314FE" w:rsidRPr="00DF08E2" w:rsidRDefault="002314FE" w:rsidP="00183B2A">
            <w:pPr>
              <w:jc w:val="center"/>
              <w:rPr>
                <w:color w:val="E36C0A" w:themeColor="accent6" w:themeShade="BF"/>
                <w:lang w:val="ro-RO"/>
              </w:rPr>
            </w:pPr>
            <w:r w:rsidRPr="00DF08E2">
              <w:rPr>
                <w:color w:val="E36C0A" w:themeColor="accent6" w:themeShade="BF"/>
                <w:lang w:val="ro-RO"/>
              </w:rPr>
              <w:t>29.08-15.09</w:t>
            </w:r>
          </w:p>
        </w:tc>
        <w:tc>
          <w:tcPr>
            <w:tcW w:w="1567" w:type="dxa"/>
          </w:tcPr>
          <w:p w14:paraId="1504FB98" w14:textId="0BDC4D53" w:rsidR="002314FE" w:rsidRPr="006C664A" w:rsidRDefault="007729BC" w:rsidP="00183B2A">
            <w:pPr>
              <w:jc w:val="center"/>
              <w:rPr>
                <w:lang w:val="ro-RO"/>
              </w:rPr>
            </w:pPr>
            <w:r w:rsidRPr="006C664A">
              <w:rPr>
                <w:lang w:val="ro-RO"/>
              </w:rPr>
              <w:t xml:space="preserve">85 </w:t>
            </w:r>
          </w:p>
        </w:tc>
        <w:tc>
          <w:tcPr>
            <w:tcW w:w="1567" w:type="dxa"/>
          </w:tcPr>
          <w:p w14:paraId="7B34B382" w14:textId="2399CECF" w:rsidR="002314FE" w:rsidRPr="006C664A" w:rsidRDefault="007729BC" w:rsidP="00183B2A">
            <w:pPr>
              <w:jc w:val="center"/>
              <w:rPr>
                <w:lang w:val="ro-RO"/>
              </w:rPr>
            </w:pPr>
            <w:r w:rsidRPr="006C664A">
              <w:rPr>
                <w:lang w:val="ro-RO"/>
              </w:rPr>
              <w:t xml:space="preserve">93 </w:t>
            </w:r>
          </w:p>
        </w:tc>
        <w:tc>
          <w:tcPr>
            <w:tcW w:w="1567" w:type="dxa"/>
          </w:tcPr>
          <w:p w14:paraId="2FD77265" w14:textId="0B438B79" w:rsidR="002314FE" w:rsidRPr="006C664A" w:rsidRDefault="007729BC" w:rsidP="00183B2A">
            <w:pPr>
              <w:jc w:val="center"/>
              <w:rPr>
                <w:lang w:val="ro-RO"/>
              </w:rPr>
            </w:pPr>
            <w:r w:rsidRPr="006C664A">
              <w:rPr>
                <w:lang w:val="ro-RO"/>
              </w:rPr>
              <w:t xml:space="preserve">93 </w:t>
            </w:r>
          </w:p>
        </w:tc>
        <w:tc>
          <w:tcPr>
            <w:tcW w:w="1567" w:type="dxa"/>
          </w:tcPr>
          <w:p w14:paraId="774C6361" w14:textId="0361FBA4" w:rsidR="002314FE" w:rsidRPr="006C664A" w:rsidRDefault="007729BC" w:rsidP="00183B2A">
            <w:pPr>
              <w:jc w:val="center"/>
              <w:rPr>
                <w:lang w:val="ro-RO"/>
              </w:rPr>
            </w:pPr>
            <w:r w:rsidRPr="006C664A">
              <w:rPr>
                <w:lang w:val="ro-RO"/>
              </w:rPr>
              <w:t xml:space="preserve">105 </w:t>
            </w:r>
          </w:p>
        </w:tc>
        <w:tc>
          <w:tcPr>
            <w:tcW w:w="1567" w:type="dxa"/>
          </w:tcPr>
          <w:p w14:paraId="488D8682" w14:textId="4EF8B416" w:rsidR="002314FE" w:rsidRPr="006C664A" w:rsidRDefault="007729BC" w:rsidP="00183B2A">
            <w:pPr>
              <w:jc w:val="center"/>
              <w:rPr>
                <w:lang w:val="ro-RO"/>
              </w:rPr>
            </w:pPr>
            <w:r w:rsidRPr="006C664A">
              <w:rPr>
                <w:lang w:val="ro-RO"/>
              </w:rPr>
              <w:t xml:space="preserve">110 </w:t>
            </w:r>
          </w:p>
        </w:tc>
        <w:tc>
          <w:tcPr>
            <w:tcW w:w="1568" w:type="dxa"/>
          </w:tcPr>
          <w:p w14:paraId="786E163E" w14:textId="12886F39" w:rsidR="002314FE" w:rsidRPr="006C664A" w:rsidRDefault="007729BC" w:rsidP="00183B2A">
            <w:pPr>
              <w:jc w:val="center"/>
              <w:rPr>
                <w:lang w:val="ro-RO"/>
              </w:rPr>
            </w:pPr>
            <w:r w:rsidRPr="006C664A">
              <w:rPr>
                <w:lang w:val="ro-RO"/>
              </w:rPr>
              <w:t xml:space="preserve">123 </w:t>
            </w:r>
          </w:p>
        </w:tc>
      </w:tr>
      <w:tr w:rsidR="002314FE" w14:paraId="53BAE737" w14:textId="77777777" w:rsidTr="00183B2A">
        <w:tc>
          <w:tcPr>
            <w:tcW w:w="1567" w:type="dxa"/>
          </w:tcPr>
          <w:p w14:paraId="5737AAF5" w14:textId="141E0D1B" w:rsidR="002314FE" w:rsidRPr="00DF08E2" w:rsidRDefault="002314FE" w:rsidP="00183B2A">
            <w:pPr>
              <w:jc w:val="center"/>
              <w:rPr>
                <w:color w:val="E36C0A" w:themeColor="accent6" w:themeShade="BF"/>
                <w:lang w:val="ro-RO"/>
              </w:rPr>
            </w:pPr>
            <w:r w:rsidRPr="00DF08E2">
              <w:rPr>
                <w:color w:val="E36C0A" w:themeColor="accent6" w:themeShade="BF"/>
                <w:lang w:val="ro-RO"/>
              </w:rPr>
              <w:t>16.09-4.10</w:t>
            </w:r>
          </w:p>
        </w:tc>
        <w:tc>
          <w:tcPr>
            <w:tcW w:w="1567" w:type="dxa"/>
          </w:tcPr>
          <w:p w14:paraId="0DA656AB" w14:textId="1D8F125E" w:rsidR="002314FE" w:rsidRPr="006C664A" w:rsidRDefault="007729BC" w:rsidP="00183B2A">
            <w:pPr>
              <w:jc w:val="center"/>
              <w:rPr>
                <w:lang w:val="ro-RO"/>
              </w:rPr>
            </w:pPr>
            <w:r w:rsidRPr="006C664A">
              <w:rPr>
                <w:lang w:val="ro-RO"/>
              </w:rPr>
              <w:t xml:space="preserve">68 </w:t>
            </w:r>
          </w:p>
        </w:tc>
        <w:tc>
          <w:tcPr>
            <w:tcW w:w="1567" w:type="dxa"/>
          </w:tcPr>
          <w:p w14:paraId="4157938C" w14:textId="72097A28" w:rsidR="002314FE" w:rsidRPr="006C664A" w:rsidRDefault="007729BC" w:rsidP="00183B2A">
            <w:pPr>
              <w:jc w:val="center"/>
              <w:rPr>
                <w:lang w:val="ro-RO"/>
              </w:rPr>
            </w:pPr>
            <w:r w:rsidRPr="006C664A">
              <w:rPr>
                <w:lang w:val="ro-RO"/>
              </w:rPr>
              <w:t xml:space="preserve">70 </w:t>
            </w:r>
          </w:p>
        </w:tc>
        <w:tc>
          <w:tcPr>
            <w:tcW w:w="1567" w:type="dxa"/>
          </w:tcPr>
          <w:p w14:paraId="57C428E4" w14:textId="394A6478" w:rsidR="002314FE" w:rsidRPr="006C664A" w:rsidRDefault="007729BC" w:rsidP="00183B2A">
            <w:pPr>
              <w:jc w:val="center"/>
              <w:rPr>
                <w:lang w:val="ro-RO"/>
              </w:rPr>
            </w:pPr>
            <w:r w:rsidRPr="006C664A">
              <w:rPr>
                <w:lang w:val="ro-RO"/>
              </w:rPr>
              <w:t xml:space="preserve">70 </w:t>
            </w:r>
          </w:p>
        </w:tc>
        <w:tc>
          <w:tcPr>
            <w:tcW w:w="1567" w:type="dxa"/>
          </w:tcPr>
          <w:p w14:paraId="1B61942A" w14:textId="60FF6857" w:rsidR="002314FE" w:rsidRPr="006C664A" w:rsidRDefault="007729BC" w:rsidP="00183B2A">
            <w:pPr>
              <w:jc w:val="center"/>
              <w:rPr>
                <w:lang w:val="ro-RO"/>
              </w:rPr>
            </w:pPr>
            <w:r w:rsidRPr="006C664A">
              <w:rPr>
                <w:lang w:val="ro-RO"/>
              </w:rPr>
              <w:t xml:space="preserve">85 </w:t>
            </w:r>
          </w:p>
        </w:tc>
        <w:tc>
          <w:tcPr>
            <w:tcW w:w="1567" w:type="dxa"/>
          </w:tcPr>
          <w:p w14:paraId="097DC0DD" w14:textId="3621936C" w:rsidR="002314FE" w:rsidRPr="006C664A" w:rsidRDefault="007729BC" w:rsidP="00183B2A">
            <w:pPr>
              <w:jc w:val="center"/>
              <w:rPr>
                <w:lang w:val="ro-RO"/>
              </w:rPr>
            </w:pPr>
            <w:r w:rsidRPr="006C664A">
              <w:rPr>
                <w:lang w:val="ro-RO"/>
              </w:rPr>
              <w:t xml:space="preserve">93 </w:t>
            </w:r>
          </w:p>
        </w:tc>
        <w:tc>
          <w:tcPr>
            <w:tcW w:w="1568" w:type="dxa"/>
          </w:tcPr>
          <w:p w14:paraId="385C9B34" w14:textId="171FA1D2" w:rsidR="002314FE" w:rsidRPr="006C664A" w:rsidRDefault="007729BC" w:rsidP="00183B2A">
            <w:pPr>
              <w:jc w:val="center"/>
              <w:rPr>
                <w:lang w:val="ro-RO"/>
              </w:rPr>
            </w:pPr>
            <w:r w:rsidRPr="006C664A">
              <w:rPr>
                <w:lang w:val="ro-RO"/>
              </w:rPr>
              <w:t xml:space="preserve">103 </w:t>
            </w:r>
          </w:p>
        </w:tc>
      </w:tr>
    </w:tbl>
    <w:p w14:paraId="644FE285" w14:textId="77777777" w:rsidR="00183B2A" w:rsidRDefault="00183B2A" w:rsidP="003059F7">
      <w:pPr>
        <w:spacing w:after="0" w:line="360" w:lineRule="auto"/>
        <w:jc w:val="both"/>
        <w:rPr>
          <w:lang w:val="ro-RO"/>
        </w:rPr>
      </w:pPr>
    </w:p>
    <w:p w14:paraId="55AAA23A" w14:textId="0B4B640B" w:rsidR="002314FE" w:rsidRDefault="002314FE" w:rsidP="002314FE">
      <w:pPr>
        <w:spacing w:after="0" w:line="240" w:lineRule="auto"/>
        <w:jc w:val="both"/>
        <w:rPr>
          <w:lang w:val="ro-RO"/>
        </w:rPr>
      </w:pPr>
      <w:r>
        <w:rPr>
          <w:lang w:val="ro-RO"/>
        </w:rPr>
        <w:t>Valabil pentru camere, studiouri si family suites: tariful este calculat pentru minim 2 persoane in camera</w:t>
      </w:r>
    </w:p>
    <w:p w14:paraId="3C5EB76D" w14:textId="1E464E67" w:rsidR="00CB229C" w:rsidRDefault="002314FE" w:rsidP="002314FE">
      <w:pPr>
        <w:spacing w:after="0" w:line="240" w:lineRule="auto"/>
        <w:jc w:val="both"/>
        <w:rPr>
          <w:b/>
          <w:bCs/>
          <w:lang w:val="ro-RO"/>
        </w:rPr>
      </w:pPr>
      <w:r>
        <w:rPr>
          <w:lang w:val="ro-RO"/>
        </w:rPr>
        <w:t xml:space="preserve">Pentru </w:t>
      </w:r>
      <w:r w:rsidRPr="002314FE">
        <w:rPr>
          <w:b/>
          <w:bCs/>
          <w:lang w:val="ro-RO"/>
        </w:rPr>
        <w:t>a 4-a si a 5-a persoana</w:t>
      </w:r>
      <w:r>
        <w:rPr>
          <w:lang w:val="ro-RO"/>
        </w:rPr>
        <w:t xml:space="preserve"> in camera, </w:t>
      </w:r>
      <w:r w:rsidR="00630250">
        <w:rPr>
          <w:lang w:val="ro-RO"/>
        </w:rPr>
        <w:t>cu</w:t>
      </w:r>
      <w:r>
        <w:rPr>
          <w:lang w:val="ro-RO"/>
        </w:rPr>
        <w:t xml:space="preserve"> demipensiune, se achita </w:t>
      </w:r>
      <w:r w:rsidRPr="002314FE">
        <w:rPr>
          <w:b/>
          <w:bCs/>
          <w:lang w:val="ro-RO"/>
        </w:rPr>
        <w:t>40 euro/persoana/noapte</w:t>
      </w:r>
    </w:p>
    <w:p w14:paraId="5D2B221F" w14:textId="130AB181" w:rsidR="002314FE" w:rsidRPr="002314FE" w:rsidRDefault="002314FE" w:rsidP="002314FE">
      <w:pPr>
        <w:spacing w:after="0" w:line="240" w:lineRule="auto"/>
        <w:jc w:val="both"/>
        <w:rPr>
          <w:b/>
          <w:bCs/>
          <w:lang w:val="ro-RO"/>
        </w:rPr>
      </w:pPr>
      <w:r w:rsidRPr="002314FE">
        <w:rPr>
          <w:b/>
          <w:bCs/>
          <w:lang w:val="ro-RO"/>
        </w:rPr>
        <w:t xml:space="preserve">Optional </w:t>
      </w:r>
      <w:r>
        <w:rPr>
          <w:lang w:val="ro-RO"/>
        </w:rPr>
        <w:t xml:space="preserve"> - supliment pensiune completa (</w:t>
      </w:r>
      <w:r w:rsidRPr="00630250">
        <w:rPr>
          <w:b/>
          <w:bCs/>
          <w:lang w:val="ro-RO"/>
        </w:rPr>
        <w:t>pranz</w:t>
      </w:r>
      <w:r>
        <w:rPr>
          <w:lang w:val="ro-RO"/>
        </w:rPr>
        <w:t xml:space="preserve">) – </w:t>
      </w:r>
      <w:r w:rsidRPr="002314FE">
        <w:rPr>
          <w:b/>
          <w:bCs/>
          <w:lang w:val="ro-RO"/>
        </w:rPr>
        <w:t>25 euro/persoana/zi</w:t>
      </w:r>
    </w:p>
    <w:p w14:paraId="11901A73" w14:textId="5D81D347" w:rsidR="00630250" w:rsidRDefault="00D53590" w:rsidP="002314FE">
      <w:pPr>
        <w:spacing w:after="0" w:line="240" w:lineRule="auto"/>
        <w:jc w:val="both"/>
        <w:rPr>
          <w:lang w:val="ro-RO"/>
        </w:rPr>
      </w:pPr>
      <w:r>
        <w:rPr>
          <w:lang w:val="ro-RO"/>
        </w:rPr>
        <w:t>C</w:t>
      </w:r>
      <w:r w:rsidR="00630250">
        <w:rPr>
          <w:lang w:val="ro-RO"/>
        </w:rPr>
        <w:t>opil 0-11,99 ani – gratuit</w:t>
      </w:r>
      <w:r w:rsidR="00B7673E">
        <w:rPr>
          <w:lang w:val="ro-RO"/>
        </w:rPr>
        <w:t xml:space="preserve"> in camera cu parintii </w:t>
      </w:r>
      <w:r w:rsidR="00B7673E" w:rsidRPr="00D53590">
        <w:rPr>
          <w:lang w:val="ro-RO"/>
        </w:rPr>
        <w:t xml:space="preserve">(cazare </w:t>
      </w:r>
      <w:r>
        <w:rPr>
          <w:lang w:val="ro-RO"/>
        </w:rPr>
        <w:t>+</w:t>
      </w:r>
      <w:r w:rsidR="00B7673E" w:rsidRPr="00D53590">
        <w:rPr>
          <w:lang w:val="ro-RO"/>
        </w:rPr>
        <w:t xml:space="preserve"> demipensiune)</w:t>
      </w:r>
    </w:p>
    <w:p w14:paraId="11C8FBB4" w14:textId="46E8071F" w:rsidR="00630250" w:rsidRDefault="00630250" w:rsidP="002314FE">
      <w:pPr>
        <w:spacing w:after="0" w:line="240" w:lineRule="auto"/>
        <w:jc w:val="both"/>
        <w:rPr>
          <w:lang w:val="ro-RO"/>
        </w:rPr>
      </w:pPr>
      <w:r>
        <w:rPr>
          <w:lang w:val="ro-RO"/>
        </w:rPr>
        <w:t xml:space="preserve">Al 2-lea copil 4-11,99 ani – achita 50% din tariful de adult (cazare </w:t>
      </w:r>
      <w:r w:rsidR="00D53590">
        <w:rPr>
          <w:lang w:val="ro-RO"/>
        </w:rPr>
        <w:t xml:space="preserve">+ </w:t>
      </w:r>
      <w:r>
        <w:rPr>
          <w:lang w:val="ro-RO"/>
        </w:rPr>
        <w:t>demipensiune)</w:t>
      </w:r>
    </w:p>
    <w:p w14:paraId="1A2C2853" w14:textId="0FCEFB6A" w:rsidR="00630250" w:rsidRDefault="00630250" w:rsidP="002314FE">
      <w:pPr>
        <w:spacing w:after="0" w:line="240" w:lineRule="auto"/>
        <w:jc w:val="both"/>
        <w:rPr>
          <w:lang w:val="ro-RO"/>
        </w:rPr>
      </w:pPr>
      <w:r>
        <w:rPr>
          <w:lang w:val="ro-RO"/>
        </w:rPr>
        <w:t>Taxa turistica se achita la sosire, la receptie.</w:t>
      </w:r>
    </w:p>
    <w:p w14:paraId="178C29D7" w14:textId="7516871C" w:rsidR="00F1154B" w:rsidRDefault="00F1154B" w:rsidP="002314FE">
      <w:pPr>
        <w:spacing w:after="0" w:line="240" w:lineRule="auto"/>
        <w:jc w:val="both"/>
        <w:rPr>
          <w:lang w:val="ro-RO"/>
        </w:rPr>
      </w:pPr>
      <w:r w:rsidRPr="00F1154B">
        <w:rPr>
          <w:b/>
          <w:bCs/>
          <w:lang w:val="ro-RO"/>
        </w:rPr>
        <w:t>Conditii de plata:</w:t>
      </w:r>
      <w:r>
        <w:rPr>
          <w:lang w:val="ro-RO"/>
        </w:rPr>
        <w:t xml:space="preserve"> avans 30% la rezervare si diferenta cu 30 zile inainte de cazare.</w:t>
      </w:r>
    </w:p>
    <w:p w14:paraId="72545701" w14:textId="77777777" w:rsidR="002314FE" w:rsidRPr="002314FE" w:rsidRDefault="002314FE" w:rsidP="002314FE">
      <w:pPr>
        <w:jc w:val="both"/>
        <w:rPr>
          <w:lang w:val="ro-RO"/>
        </w:rPr>
      </w:pPr>
    </w:p>
    <w:sectPr w:rsidR="002314FE" w:rsidRPr="002314FE" w:rsidSect="00BA3E60">
      <w:pgSz w:w="12240" w:h="15840"/>
      <w:pgMar w:top="990" w:right="450" w:bottom="27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9C"/>
    <w:rsid w:val="00183B2A"/>
    <w:rsid w:val="001F155C"/>
    <w:rsid w:val="0023008A"/>
    <w:rsid w:val="002314FE"/>
    <w:rsid w:val="0025376F"/>
    <w:rsid w:val="002C4A44"/>
    <w:rsid w:val="003059F7"/>
    <w:rsid w:val="00390DF3"/>
    <w:rsid w:val="003B5B4C"/>
    <w:rsid w:val="003C7731"/>
    <w:rsid w:val="003F0FF0"/>
    <w:rsid w:val="00412709"/>
    <w:rsid w:val="005F5F6E"/>
    <w:rsid w:val="00630250"/>
    <w:rsid w:val="00667B04"/>
    <w:rsid w:val="006C664A"/>
    <w:rsid w:val="006F248E"/>
    <w:rsid w:val="007729BC"/>
    <w:rsid w:val="007B0BAB"/>
    <w:rsid w:val="007E166B"/>
    <w:rsid w:val="00810B87"/>
    <w:rsid w:val="008E70CF"/>
    <w:rsid w:val="00964494"/>
    <w:rsid w:val="00B7673E"/>
    <w:rsid w:val="00BA3E60"/>
    <w:rsid w:val="00C20515"/>
    <w:rsid w:val="00C41628"/>
    <w:rsid w:val="00CB229C"/>
    <w:rsid w:val="00CD2723"/>
    <w:rsid w:val="00D33E67"/>
    <w:rsid w:val="00D355C0"/>
    <w:rsid w:val="00D53590"/>
    <w:rsid w:val="00DF08E2"/>
    <w:rsid w:val="00EB14F4"/>
    <w:rsid w:val="00F1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B09A"/>
  <w15:chartTrackingRefBased/>
  <w15:docId w15:val="{D90EB143-B8C4-41B2-96AE-6DD59BDA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B229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CB229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CB229C"/>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CB229C"/>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CB229C"/>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CB229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B229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B229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B229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B229C"/>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CB229C"/>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CB229C"/>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CB229C"/>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CB229C"/>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CB229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B229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B229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B229C"/>
    <w:rPr>
      <w:rFonts w:eastAsiaTheme="majorEastAsia" w:cstheme="majorBidi"/>
      <w:color w:val="272727" w:themeColor="text1" w:themeTint="D8"/>
    </w:rPr>
  </w:style>
  <w:style w:type="paragraph" w:styleId="Titlu">
    <w:name w:val="Title"/>
    <w:basedOn w:val="Normal"/>
    <w:next w:val="Normal"/>
    <w:link w:val="TitluCaracter"/>
    <w:uiPriority w:val="10"/>
    <w:qFormat/>
    <w:rsid w:val="00CB2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B229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B229C"/>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B229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B229C"/>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B229C"/>
    <w:rPr>
      <w:i/>
      <w:iCs/>
      <w:color w:val="404040" w:themeColor="text1" w:themeTint="BF"/>
    </w:rPr>
  </w:style>
  <w:style w:type="paragraph" w:styleId="Listparagraf">
    <w:name w:val="List Paragraph"/>
    <w:basedOn w:val="Normal"/>
    <w:uiPriority w:val="34"/>
    <w:qFormat/>
    <w:rsid w:val="00CB229C"/>
    <w:pPr>
      <w:ind w:left="720"/>
      <w:contextualSpacing/>
    </w:pPr>
  </w:style>
  <w:style w:type="character" w:styleId="Accentuareintens">
    <w:name w:val="Intense Emphasis"/>
    <w:basedOn w:val="Fontdeparagrafimplicit"/>
    <w:uiPriority w:val="21"/>
    <w:qFormat/>
    <w:rsid w:val="00CB229C"/>
    <w:rPr>
      <w:i/>
      <w:iCs/>
      <w:color w:val="365F91" w:themeColor="accent1" w:themeShade="BF"/>
    </w:rPr>
  </w:style>
  <w:style w:type="paragraph" w:styleId="Citatintens">
    <w:name w:val="Intense Quote"/>
    <w:basedOn w:val="Normal"/>
    <w:next w:val="Normal"/>
    <w:link w:val="CitatintensCaracter"/>
    <w:uiPriority w:val="30"/>
    <w:qFormat/>
    <w:rsid w:val="00CB22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CB229C"/>
    <w:rPr>
      <w:i/>
      <w:iCs/>
      <w:color w:val="365F91" w:themeColor="accent1" w:themeShade="BF"/>
    </w:rPr>
  </w:style>
  <w:style w:type="character" w:styleId="Referireintens">
    <w:name w:val="Intense Reference"/>
    <w:basedOn w:val="Fontdeparagrafimplicit"/>
    <w:uiPriority w:val="32"/>
    <w:qFormat/>
    <w:rsid w:val="00CB229C"/>
    <w:rPr>
      <w:b/>
      <w:bCs/>
      <w:smallCaps/>
      <w:color w:val="365F91" w:themeColor="accent1" w:themeShade="BF"/>
      <w:spacing w:val="5"/>
    </w:rPr>
  </w:style>
  <w:style w:type="table" w:styleId="Tabelgril">
    <w:name w:val="Table Grid"/>
    <w:basedOn w:val="TabelNormal"/>
    <w:uiPriority w:val="59"/>
    <w:rsid w:val="0018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368</Words>
  <Characters>2098</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LUCA</dc:creator>
  <cp:keywords/>
  <dc:description/>
  <cp:lastModifiedBy>DUMITRU LUCA</cp:lastModifiedBy>
  <cp:revision>48</cp:revision>
  <dcterms:created xsi:type="dcterms:W3CDTF">2025-11-26T12:59:00Z</dcterms:created>
  <dcterms:modified xsi:type="dcterms:W3CDTF">2025-12-03T15:48:00Z</dcterms:modified>
</cp:coreProperties>
</file>